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52"/>
          <w:szCs w:val="5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城建易采</w:t>
      </w:r>
      <w:r>
        <w:rPr>
          <w:rFonts w:hint="eastAsia" w:ascii="微软雅黑" w:hAnsi="微软雅黑" w:eastAsia="微软雅黑"/>
          <w:sz w:val="52"/>
          <w:szCs w:val="52"/>
        </w:rPr>
        <w:t>集中</w:t>
      </w:r>
      <w:r>
        <w:rPr>
          <w:rFonts w:ascii="微软雅黑" w:hAnsi="微软雅黑" w:eastAsia="微软雅黑"/>
          <w:sz w:val="52"/>
          <w:szCs w:val="52"/>
        </w:rPr>
        <w:t>采购平台</w:t>
      </w:r>
      <w:r>
        <w:rPr>
          <w:rFonts w:hint="eastAsia" w:ascii="微软雅黑" w:hAnsi="微软雅黑" w:eastAsia="微软雅黑"/>
          <w:sz w:val="52"/>
          <w:szCs w:val="52"/>
        </w:rPr>
        <w:t>操作手册</w:t>
      </w:r>
    </w:p>
    <w:p>
      <w:pPr>
        <w:jc w:val="center"/>
        <w:rPr>
          <w:rFonts w:hint="default" w:ascii="微软雅黑" w:hAnsi="微软雅黑" w:eastAsia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公开招标-在线报名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广联达</w:t>
      </w:r>
      <w:r>
        <w:rPr>
          <w:rFonts w:ascii="微软雅黑" w:hAnsi="微软雅黑" w:eastAsia="微软雅黑"/>
          <w:sz w:val="24"/>
        </w:rPr>
        <w:t>科技股份有限公司</w:t>
      </w:r>
    </w:p>
    <w:p>
      <w:pPr>
        <w:jc w:val="center"/>
        <w:rPr>
          <w:rFonts w:ascii="微软雅黑" w:hAnsi="微软雅黑" w:eastAsia="微软雅黑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微软雅黑" w:hAnsi="微软雅黑" w:eastAsia="微软雅黑"/>
          <w:sz w:val="24"/>
        </w:rPr>
        <w:t>201</w:t>
      </w:r>
      <w:r>
        <w:rPr>
          <w:rFonts w:hint="eastAsia" w:ascii="微软雅黑" w:hAnsi="微软雅黑" w:eastAsia="微软雅黑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hint="eastAsia" w:ascii="微软雅黑" w:hAnsi="微软雅黑" w:eastAsia="微软雅黑"/>
          <w:sz w:val="24"/>
        </w:rPr>
        <w:t>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jc w:val="left"/>
        <w:textAlignment w:val="auto"/>
        <w:rPr>
          <w:rFonts w:hint="default" w:ascii="微软雅黑" w:hAnsi="微软雅黑" w:eastAsia="微软雅黑"/>
          <w:b w:val="0"/>
          <w:sz w:val="30"/>
          <w:szCs w:val="30"/>
          <w:lang w:val="en-US"/>
        </w:rPr>
      </w:pPr>
      <w:r>
        <w:rPr>
          <w:rFonts w:hint="eastAsia" w:ascii="微软雅黑" w:hAnsi="微软雅黑" w:eastAsia="微软雅黑"/>
          <w:b w:val="0"/>
          <w:sz w:val="30"/>
          <w:szCs w:val="30"/>
          <w:lang w:val="en-US" w:eastAsia="zh-CN"/>
        </w:rPr>
        <w:t>一、在线报名</w:t>
      </w:r>
    </w:p>
    <w:p>
      <w:pPr>
        <w:outlineLvl w:val="9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1、操作页面：</w:t>
      </w:r>
      <w:bookmarkStart w:id="0" w:name="_Toc7232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sz w:val="30"/>
          <w:szCs w:val="30"/>
        </w:rPr>
      </w:pPr>
      <w:bookmarkStart w:id="2" w:name="_GoBack"/>
      <w:r>
        <w:drawing>
          <wp:inline distT="0" distB="0" distL="114300" distR="114300">
            <wp:extent cx="5269230" cy="2004060"/>
            <wp:effectExtent l="9525" t="9525" r="17145" b="2476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4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bookmarkEnd w:id="2"/>
    </w:p>
    <w:p>
      <w:pPr>
        <w:outlineLvl w:val="9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2、操作说明</w:t>
      </w:r>
    </w:p>
    <w:p>
      <w:pPr>
        <w:outlineLvl w:val="9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2.1</w:t>
      </w:r>
      <w:bookmarkEnd w:id="0"/>
      <w:r>
        <w:rPr>
          <w:rFonts w:hint="eastAsia" w:ascii="微软雅黑" w:hAnsi="微软雅黑" w:eastAsia="微软雅黑"/>
          <w:sz w:val="24"/>
          <w:lang w:val="en-US" w:eastAsia="zh-CN"/>
        </w:rPr>
        <w:t>在线报名页签中，点击状态为未报名的招标项目，进行报名操作，查看招标公告后无疑义点击报名即可完成在线报名操作。</w:t>
      </w:r>
    </w:p>
    <w:p>
      <w:pPr>
        <w:outlineLvl w:val="9"/>
      </w:pPr>
      <w:r>
        <w:drawing>
          <wp:inline distT="0" distB="0" distL="114300" distR="114300">
            <wp:extent cx="5269865" cy="2020570"/>
            <wp:effectExtent l="9525" t="9525" r="16510" b="273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205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outlineLvl w:val="9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2.2当您对公告内容有疑问时，可在下图位置输入问题，需要附件时可上传附件，问题编辑完后点击提交，采购方即可接收到问题</w:t>
      </w:r>
    </w:p>
    <w:p>
      <w:pPr>
        <w:widowControl/>
        <w:jc w:val="left"/>
        <w:outlineLvl w:val="9"/>
        <w:rPr>
          <w:rFonts w:hint="eastAsia" w:ascii="微软雅黑" w:hAnsi="微软雅黑" w:eastAsia="微软雅黑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271135" cy="2494915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outlineLvl w:val="9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问题提交后，采购方进行答疑，答疑后，页面如下图。</w:t>
      </w:r>
    </w:p>
    <w:p>
      <w:pPr>
        <w:pStyle w:val="8"/>
        <w:ind w:left="0" w:leftChars="0" w:firstLine="0" w:firstLineChars="0"/>
        <w:outlineLvl w:val="9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5264150" cy="1780540"/>
            <wp:effectExtent l="0" t="0" r="12700" b="1016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outlineLvl w:val="9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点击【查看详情】，即可查看采购方的答疑内容。</w:t>
      </w:r>
    </w:p>
    <w:p>
      <w:pPr>
        <w:pStyle w:val="8"/>
        <w:ind w:left="0" w:leftChars="0" w:firstLine="0" w:firstLineChars="0"/>
        <w:outlineLvl w:val="9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2.3</w:t>
      </w:r>
      <w:bookmarkStart w:id="1" w:name="_Toc525724642"/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资审结果</w:t>
      </w:r>
      <w:bookmarkEnd w:id="1"/>
    </w:p>
    <w:p>
      <w:pPr>
        <w:pStyle w:val="8"/>
        <w:ind w:left="0" w:leftChars="0" w:firstLine="0" w:firstLineChars="0"/>
        <w:outlineLvl w:val="9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采购方发布资审结果后，您可在下图位置查看本企业资格审查结果。</w:t>
      </w:r>
    </w:p>
    <w:p>
      <w:pPr>
        <w:outlineLvl w:val="9"/>
        <w:rPr>
          <w:rFonts w:hint="default" w:ascii="微软雅黑" w:hAnsi="微软雅黑" w:eastAsia="微软雅黑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264785" cy="196088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061066"/>
      <w:docPartObj>
        <w:docPartGallery w:val="autotext"/>
      </w:docPartObj>
    </w:sdtPr>
    <w:sdtContent>
      <w:sdt>
        <w:sdtPr>
          <w:id w:val="846752648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20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46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E413D"/>
    <w:rsid w:val="08210862"/>
    <w:rsid w:val="097D5F64"/>
    <w:rsid w:val="0F9D7FD8"/>
    <w:rsid w:val="0FB44F6F"/>
    <w:rsid w:val="1D2D7F0F"/>
    <w:rsid w:val="23F7750E"/>
    <w:rsid w:val="276D46C4"/>
    <w:rsid w:val="31E45CC3"/>
    <w:rsid w:val="40E37DD1"/>
    <w:rsid w:val="41615280"/>
    <w:rsid w:val="479629D6"/>
    <w:rsid w:val="56C063A7"/>
    <w:rsid w:val="5951186B"/>
    <w:rsid w:val="59A315E2"/>
    <w:rsid w:val="5BCE249F"/>
    <w:rsid w:val="7E4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2019-07-23T09:42:00Z</dcterms:created>
  <dc:creator>glodon</dc:creator>
  <cp:lastModifiedBy>1380115278</cp:lastModifiedBy>
  <dcterms:modified xsi:type="dcterms:W3CDTF">2019-10-24T11:41:39Z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